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7CA" w:rsidRDefault="000377CA">
      <w:pPr>
        <w:spacing w:before="140" w:line="218" w:lineRule="auto"/>
        <w:jc w:val="center"/>
        <w:rPr>
          <w:rFonts w:ascii="宋体" w:eastAsia="宋体" w:hAnsi="宋体" w:cs="宋体"/>
          <w:b/>
          <w:bCs/>
          <w:spacing w:val="-9"/>
          <w:sz w:val="36"/>
          <w:szCs w:val="36"/>
        </w:rPr>
      </w:pPr>
    </w:p>
    <w:p w:rsidR="000377CA" w:rsidRDefault="000377CA">
      <w:pPr>
        <w:spacing w:before="140" w:line="218" w:lineRule="auto"/>
        <w:jc w:val="center"/>
        <w:rPr>
          <w:rFonts w:ascii="宋体" w:eastAsia="宋体" w:hAnsi="宋体" w:cs="宋体"/>
          <w:b/>
          <w:bCs/>
          <w:spacing w:val="-9"/>
          <w:sz w:val="36"/>
          <w:szCs w:val="36"/>
        </w:rPr>
      </w:pPr>
    </w:p>
    <w:p w:rsidR="000377CA" w:rsidRDefault="000377CA">
      <w:pPr>
        <w:spacing w:before="140" w:line="218" w:lineRule="auto"/>
        <w:jc w:val="center"/>
        <w:rPr>
          <w:rFonts w:ascii="宋体" w:eastAsia="宋体" w:hAnsi="宋体" w:cs="宋体"/>
          <w:b/>
          <w:bCs/>
          <w:spacing w:val="-9"/>
          <w:sz w:val="36"/>
          <w:szCs w:val="36"/>
        </w:rPr>
      </w:pPr>
    </w:p>
    <w:p w:rsidR="000377CA" w:rsidRDefault="00000000">
      <w:pPr>
        <w:spacing w:before="140" w:line="218" w:lineRule="auto"/>
        <w:jc w:val="center"/>
        <w:rPr>
          <w:rFonts w:ascii="黑体" w:eastAsia="黑体" w:hAnsi="黑体" w:cs="黑体"/>
          <w:b/>
          <w:bCs/>
          <w:spacing w:val="-9"/>
          <w:sz w:val="56"/>
          <w:szCs w:val="56"/>
        </w:rPr>
      </w:pPr>
      <w:r>
        <w:rPr>
          <w:rFonts w:ascii="黑体" w:eastAsia="黑体" w:hAnsi="黑体" w:cs="黑体" w:hint="eastAsia"/>
          <w:b/>
          <w:bCs/>
          <w:spacing w:val="-9"/>
          <w:sz w:val="56"/>
          <w:szCs w:val="56"/>
        </w:rPr>
        <w:t>本科教育教学审核评估</w:t>
      </w:r>
    </w:p>
    <w:p w:rsidR="000377CA" w:rsidRDefault="00000000">
      <w:pPr>
        <w:spacing w:before="140" w:line="218" w:lineRule="auto"/>
        <w:jc w:val="center"/>
        <w:rPr>
          <w:rFonts w:ascii="黑体" w:eastAsia="黑体" w:hAnsi="黑体" w:cs="黑体"/>
          <w:b/>
          <w:bCs/>
          <w:spacing w:val="-9"/>
          <w:sz w:val="56"/>
          <w:szCs w:val="56"/>
        </w:rPr>
      </w:pPr>
      <w:r>
        <w:rPr>
          <w:rFonts w:ascii="黑体" w:eastAsia="黑体" w:hAnsi="黑体" w:cs="黑体" w:hint="eastAsia"/>
          <w:b/>
          <w:bCs/>
          <w:spacing w:val="-9"/>
          <w:sz w:val="56"/>
          <w:szCs w:val="56"/>
        </w:rPr>
        <w:t>自评报告</w:t>
      </w:r>
    </w:p>
    <w:p w:rsidR="000377CA" w:rsidRDefault="000377CA">
      <w:pPr>
        <w:spacing w:before="140" w:line="218" w:lineRule="auto"/>
        <w:jc w:val="center"/>
        <w:rPr>
          <w:rFonts w:ascii="宋体" w:eastAsia="宋体" w:hAnsi="宋体" w:cs="宋体"/>
          <w:b/>
          <w:bCs/>
          <w:spacing w:val="-9"/>
          <w:sz w:val="52"/>
          <w:szCs w:val="52"/>
        </w:rPr>
      </w:pPr>
    </w:p>
    <w:p w:rsidR="000377CA" w:rsidRDefault="000377CA">
      <w:pPr>
        <w:spacing w:before="140" w:line="218" w:lineRule="auto"/>
        <w:jc w:val="center"/>
        <w:rPr>
          <w:rFonts w:ascii="宋体" w:eastAsia="宋体" w:hAnsi="宋体" w:cs="宋体"/>
          <w:b/>
          <w:bCs/>
          <w:spacing w:val="-9"/>
          <w:sz w:val="52"/>
          <w:szCs w:val="52"/>
        </w:rPr>
      </w:pPr>
    </w:p>
    <w:p w:rsidR="000377CA" w:rsidRDefault="000377CA">
      <w:pPr>
        <w:spacing w:before="140" w:line="218" w:lineRule="auto"/>
        <w:jc w:val="center"/>
        <w:rPr>
          <w:rFonts w:ascii="宋体" w:eastAsia="宋体" w:hAnsi="宋体" w:cs="宋体"/>
          <w:b/>
          <w:bCs/>
          <w:spacing w:val="-9"/>
          <w:sz w:val="52"/>
          <w:szCs w:val="52"/>
        </w:rPr>
      </w:pPr>
    </w:p>
    <w:p w:rsidR="000377CA" w:rsidRDefault="000377CA">
      <w:pPr>
        <w:spacing w:before="140" w:line="218" w:lineRule="auto"/>
        <w:jc w:val="center"/>
        <w:rPr>
          <w:rFonts w:ascii="宋体" w:eastAsia="宋体" w:hAnsi="宋体" w:cs="宋体"/>
          <w:b/>
          <w:bCs/>
          <w:spacing w:val="-9"/>
          <w:sz w:val="52"/>
          <w:szCs w:val="52"/>
        </w:rPr>
      </w:pPr>
    </w:p>
    <w:p w:rsidR="000377CA" w:rsidRDefault="000377CA">
      <w:pPr>
        <w:spacing w:before="140" w:line="218" w:lineRule="auto"/>
        <w:jc w:val="center"/>
        <w:rPr>
          <w:rFonts w:ascii="宋体" w:eastAsia="宋体" w:hAnsi="宋体" w:cs="宋体"/>
          <w:b/>
          <w:bCs/>
          <w:spacing w:val="-9"/>
          <w:sz w:val="52"/>
          <w:szCs w:val="52"/>
        </w:rPr>
      </w:pPr>
    </w:p>
    <w:p w:rsidR="000377CA" w:rsidRDefault="00000000">
      <w:pPr>
        <w:spacing w:before="140" w:line="218" w:lineRule="auto"/>
        <w:jc w:val="center"/>
        <w:rPr>
          <w:rFonts w:ascii="黑体" w:eastAsia="黑体" w:hAnsi="黑体" w:cs="黑体"/>
          <w:b/>
          <w:bCs/>
          <w:spacing w:val="-9"/>
          <w:sz w:val="48"/>
          <w:szCs w:val="48"/>
        </w:rPr>
      </w:pPr>
      <w:r>
        <w:rPr>
          <w:rFonts w:ascii="黑体" w:eastAsia="黑体" w:hAnsi="黑体" w:cs="黑体" w:hint="eastAsia"/>
          <w:b/>
          <w:bCs/>
          <w:spacing w:val="-9"/>
          <w:sz w:val="48"/>
          <w:szCs w:val="48"/>
        </w:rPr>
        <w:t>***院（部）</w:t>
      </w:r>
    </w:p>
    <w:p w:rsidR="000377CA" w:rsidRDefault="00000000">
      <w:pPr>
        <w:spacing w:before="140" w:line="218" w:lineRule="auto"/>
        <w:jc w:val="center"/>
        <w:rPr>
          <w:rFonts w:ascii="宋体" w:eastAsia="宋体" w:hAnsi="宋体" w:cs="宋体"/>
          <w:b/>
          <w:bCs/>
          <w:spacing w:val="-9"/>
          <w:sz w:val="52"/>
          <w:szCs w:val="52"/>
        </w:rPr>
      </w:pPr>
      <w:r>
        <w:rPr>
          <w:rFonts w:ascii="黑体" w:eastAsia="黑体" w:hAnsi="黑体" w:cs="黑体" w:hint="eastAsia"/>
          <w:b/>
          <w:bCs/>
          <w:spacing w:val="-9"/>
          <w:sz w:val="48"/>
          <w:szCs w:val="48"/>
        </w:rPr>
        <w:t>二〇二三年八月</w:t>
      </w:r>
    </w:p>
    <w:p w:rsidR="000377CA" w:rsidRDefault="000377CA">
      <w:pPr>
        <w:spacing w:before="140" w:line="218" w:lineRule="auto"/>
        <w:jc w:val="center"/>
        <w:rPr>
          <w:rFonts w:ascii="宋体" w:eastAsia="宋体" w:hAnsi="宋体" w:cs="宋体"/>
          <w:b/>
          <w:bCs/>
          <w:spacing w:val="-9"/>
          <w:sz w:val="52"/>
          <w:szCs w:val="52"/>
        </w:rPr>
        <w:sectPr w:rsidR="000377CA">
          <w:footerReference w:type="default" r:id="rId7"/>
          <w:pgSz w:w="11906" w:h="16838"/>
          <w:pgMar w:top="1440" w:right="1800" w:bottom="1440" w:left="1800" w:header="851" w:footer="992" w:gutter="0"/>
          <w:cols w:space="425"/>
          <w:docGrid w:type="lines" w:linePitch="312"/>
        </w:sectPr>
      </w:pPr>
    </w:p>
    <w:p w:rsidR="000377CA" w:rsidRDefault="00000000" w:rsidP="00091359">
      <w:pPr>
        <w:spacing w:before="140" w:line="560" w:lineRule="exact"/>
        <w:jc w:val="center"/>
        <w:rPr>
          <w:rFonts w:ascii="宋体" w:eastAsia="宋体" w:hAnsi="宋体" w:cs="宋体"/>
          <w:b/>
          <w:bCs/>
          <w:spacing w:val="-9"/>
          <w:sz w:val="36"/>
          <w:szCs w:val="36"/>
        </w:rPr>
      </w:pPr>
      <w:r>
        <w:rPr>
          <w:rFonts w:ascii="宋体" w:eastAsia="宋体" w:hAnsi="宋体" w:cs="宋体" w:hint="eastAsia"/>
          <w:b/>
          <w:bCs/>
          <w:spacing w:val="-9"/>
          <w:sz w:val="36"/>
          <w:szCs w:val="36"/>
        </w:rPr>
        <w:lastRenderedPageBreak/>
        <w:t>*</w:t>
      </w:r>
      <w:r>
        <w:rPr>
          <w:rFonts w:ascii="宋体" w:eastAsia="宋体" w:hAnsi="宋体" w:cs="宋体"/>
          <w:b/>
          <w:bCs/>
          <w:spacing w:val="-9"/>
          <w:sz w:val="36"/>
          <w:szCs w:val="36"/>
        </w:rPr>
        <w:t>**</w:t>
      </w:r>
      <w:r>
        <w:rPr>
          <w:rFonts w:ascii="宋体" w:eastAsia="宋体" w:hAnsi="宋体" w:cs="宋体" w:hint="eastAsia"/>
          <w:b/>
          <w:bCs/>
          <w:spacing w:val="-9"/>
          <w:sz w:val="36"/>
          <w:szCs w:val="36"/>
        </w:rPr>
        <w:t>院（部）</w:t>
      </w:r>
      <w:r>
        <w:rPr>
          <w:rFonts w:ascii="宋体" w:eastAsia="宋体" w:hAnsi="宋体" w:cs="宋体"/>
          <w:b/>
          <w:bCs/>
          <w:spacing w:val="-9"/>
          <w:sz w:val="36"/>
          <w:szCs w:val="36"/>
        </w:rPr>
        <w:t>本科教育教学审核评估自评报告</w:t>
      </w:r>
    </w:p>
    <w:p w:rsidR="000377CA" w:rsidRDefault="00000000" w:rsidP="00091359">
      <w:pPr>
        <w:spacing w:before="140" w:line="560" w:lineRule="exact"/>
        <w:rPr>
          <w:rFonts w:ascii="宋体" w:eastAsia="宋体" w:hAnsi="宋体" w:cs="宋体"/>
          <w:b/>
          <w:bCs/>
          <w:color w:val="FF0000"/>
          <w:spacing w:val="-9"/>
          <w:sz w:val="36"/>
          <w:szCs w:val="36"/>
        </w:rPr>
      </w:pPr>
      <w:r>
        <w:rPr>
          <w:rFonts w:ascii="宋体" w:eastAsia="宋体" w:hAnsi="宋体" w:cs="宋体" w:hint="eastAsia"/>
          <w:b/>
          <w:bCs/>
          <w:color w:val="FF0000"/>
          <w:spacing w:val="-9"/>
          <w:sz w:val="36"/>
          <w:szCs w:val="36"/>
        </w:rPr>
        <w:t>备注：文中红字提示部分成文后全部删除。</w:t>
      </w:r>
    </w:p>
    <w:p w:rsidR="000377CA" w:rsidRDefault="00000000" w:rsidP="00091359">
      <w:pPr>
        <w:spacing w:before="140" w:line="560" w:lineRule="exact"/>
        <w:rPr>
          <w:rFonts w:ascii="宋体" w:eastAsia="宋体" w:hAnsi="宋体" w:cs="宋体"/>
          <w:b/>
          <w:bCs/>
          <w:color w:val="FF0000"/>
          <w:spacing w:val="-9"/>
          <w:sz w:val="36"/>
          <w:szCs w:val="36"/>
        </w:rPr>
      </w:pPr>
      <w:r>
        <w:rPr>
          <w:rFonts w:ascii="宋体" w:eastAsia="宋体" w:hAnsi="宋体" w:cs="宋体" w:hint="eastAsia"/>
          <w:b/>
          <w:bCs/>
          <w:spacing w:val="-9"/>
          <w:sz w:val="36"/>
          <w:szCs w:val="36"/>
        </w:rPr>
        <w:t>一、学院概况</w:t>
      </w:r>
      <w:r>
        <w:rPr>
          <w:rFonts w:ascii="宋体" w:eastAsia="宋体" w:hAnsi="宋体" w:cs="宋体" w:hint="eastAsia"/>
          <w:b/>
          <w:bCs/>
          <w:color w:val="FF0000"/>
          <w:spacing w:val="-9"/>
          <w:sz w:val="36"/>
          <w:szCs w:val="36"/>
        </w:rPr>
        <w:t>（500字）</w:t>
      </w:r>
    </w:p>
    <w:p w:rsidR="000377CA" w:rsidRDefault="00000000" w:rsidP="00091359">
      <w:pPr>
        <w:spacing w:line="560" w:lineRule="exact"/>
        <w:ind w:firstLineChars="200" w:firstLine="560"/>
        <w:rPr>
          <w:rFonts w:ascii="宋体" w:eastAsia="宋体" w:hAnsi="宋体" w:cs="宋体"/>
          <w:b/>
          <w:bCs/>
          <w:color w:val="FF0000"/>
          <w:spacing w:val="-9"/>
          <w:sz w:val="36"/>
          <w:szCs w:val="36"/>
        </w:rPr>
      </w:pPr>
      <w:r>
        <w:rPr>
          <w:rFonts w:ascii="仿宋_GB2312" w:eastAsia="仿宋_GB2312"/>
          <w:sz w:val="28"/>
          <w:szCs w:val="28"/>
        </w:rPr>
        <w:t>*************************************************************************</w:t>
      </w:r>
    </w:p>
    <w:p w:rsidR="000377CA" w:rsidRDefault="00000000" w:rsidP="00091359">
      <w:pPr>
        <w:spacing w:before="140" w:line="560" w:lineRule="exact"/>
        <w:rPr>
          <w:rFonts w:ascii="宋体" w:eastAsia="宋体" w:hAnsi="宋体" w:cs="宋体"/>
          <w:b/>
          <w:bCs/>
          <w:spacing w:val="-9"/>
          <w:sz w:val="36"/>
          <w:szCs w:val="36"/>
        </w:rPr>
      </w:pPr>
      <w:r>
        <w:rPr>
          <w:rFonts w:ascii="宋体" w:eastAsia="宋体" w:hAnsi="宋体" w:cs="宋体" w:hint="eastAsia"/>
          <w:b/>
          <w:bCs/>
          <w:spacing w:val="-9"/>
          <w:sz w:val="36"/>
          <w:szCs w:val="36"/>
        </w:rPr>
        <w:t>二、自评结果</w:t>
      </w:r>
      <w:r>
        <w:rPr>
          <w:rFonts w:ascii="宋体" w:eastAsia="宋体" w:hAnsi="宋体" w:cs="宋体" w:hint="eastAsia"/>
          <w:b/>
          <w:bCs/>
          <w:color w:val="FF0000"/>
          <w:spacing w:val="-9"/>
          <w:sz w:val="36"/>
          <w:szCs w:val="36"/>
        </w:rPr>
        <w:t>（5000-8000字，存在问题及整改举措不少于整体篇幅三分之一）</w:t>
      </w:r>
    </w:p>
    <w:p w:rsidR="000377CA" w:rsidRDefault="00000000" w:rsidP="00091359">
      <w:pPr>
        <w:spacing w:before="140" w:line="560" w:lineRule="exact"/>
        <w:jc w:val="center"/>
        <w:rPr>
          <w:rFonts w:ascii="宋体" w:eastAsia="宋体" w:hAnsi="宋体" w:cs="宋体"/>
          <w:b/>
          <w:bCs/>
          <w:spacing w:val="-9"/>
          <w:sz w:val="36"/>
          <w:szCs w:val="36"/>
        </w:rPr>
      </w:pPr>
      <w:r>
        <w:rPr>
          <w:rFonts w:ascii="宋体" w:eastAsia="宋体" w:hAnsi="宋体" w:cs="宋体" w:hint="eastAsia"/>
          <w:b/>
          <w:bCs/>
          <w:spacing w:val="-9"/>
          <w:sz w:val="36"/>
          <w:szCs w:val="36"/>
        </w:rPr>
        <w:t>1.办学方向与本科地位</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1.1 党的领导</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1.1.1 学院坚持党的全面领导，依法治教、依法办学、依法治校，围绕国家战略需求培养担当民族复兴大任的时代新人情况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sz w:val="28"/>
          <w:szCs w:val="28"/>
        </w:rPr>
        <w:t>*************************************************************************</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1.1.2 学院坚持社会主义办学方向、贯彻落实立德树人根本任务、把立德</w:t>
      </w:r>
      <w:proofErr w:type="gramStart"/>
      <w:r>
        <w:rPr>
          <w:rFonts w:ascii="仿宋_GB2312" w:eastAsia="仿宋_GB2312" w:hint="eastAsia"/>
          <w:sz w:val="28"/>
          <w:szCs w:val="28"/>
        </w:rPr>
        <w:t>树人成效</w:t>
      </w:r>
      <w:proofErr w:type="gramEnd"/>
      <w:r>
        <w:rPr>
          <w:rFonts w:ascii="仿宋_GB2312" w:eastAsia="仿宋_GB2312" w:hint="eastAsia"/>
          <w:sz w:val="28"/>
          <w:szCs w:val="28"/>
        </w:rPr>
        <w:t>作为检验学院一切工作根本标准情况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sz w:val="28"/>
          <w:szCs w:val="28"/>
        </w:rPr>
        <w:t>*************************************************************************</w:t>
      </w:r>
    </w:p>
    <w:p w:rsidR="000377CA" w:rsidRDefault="00000000" w:rsidP="00091359">
      <w:pPr>
        <w:spacing w:line="560" w:lineRule="exact"/>
        <w:ind w:firstLineChars="200" w:firstLine="562"/>
        <w:rPr>
          <w:rFonts w:ascii="黑体" w:eastAsia="黑体" w:hAnsi="黑体" w:cs="黑体"/>
          <w:b/>
          <w:bCs/>
          <w:spacing w:val="-10"/>
          <w:sz w:val="28"/>
          <w:szCs w:val="28"/>
        </w:rPr>
      </w:pPr>
      <w:r>
        <w:rPr>
          <w:rFonts w:ascii="黑体" w:eastAsia="黑体" w:hAnsi="黑体"/>
          <w:b/>
          <w:bCs/>
          <w:sz w:val="28"/>
          <w:szCs w:val="28"/>
        </w:rPr>
        <w:t xml:space="preserve">1.2 </w:t>
      </w:r>
      <w:proofErr w:type="gramStart"/>
      <w:r>
        <w:rPr>
          <w:rFonts w:ascii="黑体" w:eastAsia="黑体" w:hAnsi="黑体"/>
          <w:b/>
          <w:bCs/>
          <w:sz w:val="28"/>
          <w:szCs w:val="28"/>
        </w:rPr>
        <w:t>思政教育</w:t>
      </w:r>
      <w:proofErr w:type="gramEnd"/>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1.2.1 思想政治工作体系建设和“三全育人”工作格局建立情况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1.2.2 加强思想政治理论课教师队伍</w:t>
      </w:r>
      <w:proofErr w:type="gramStart"/>
      <w:r>
        <w:rPr>
          <w:rFonts w:ascii="仿宋_GB2312" w:eastAsia="仿宋_GB2312" w:hint="eastAsia"/>
          <w:sz w:val="28"/>
          <w:szCs w:val="28"/>
        </w:rPr>
        <w:t>和思政课程</w:t>
      </w:r>
      <w:proofErr w:type="gramEnd"/>
      <w:r>
        <w:rPr>
          <w:rFonts w:ascii="仿宋_GB2312" w:eastAsia="仿宋_GB2312" w:hint="eastAsia"/>
          <w:sz w:val="28"/>
          <w:szCs w:val="28"/>
        </w:rPr>
        <w:t>建设情况，按要求开设“习近平总书记关于教育的重要论述研究”课程情况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1.2.3 “课程思政”建设与成效，</w:t>
      </w:r>
      <w:proofErr w:type="gramStart"/>
      <w:r>
        <w:rPr>
          <w:rFonts w:ascii="仿宋_GB2312" w:eastAsia="仿宋_GB2312" w:hint="eastAsia"/>
          <w:sz w:val="28"/>
          <w:szCs w:val="28"/>
        </w:rPr>
        <w:t>课程思政示范</w:t>
      </w:r>
      <w:proofErr w:type="gramEnd"/>
      <w:r>
        <w:rPr>
          <w:rFonts w:ascii="仿宋_GB2312" w:eastAsia="仿宋_GB2312" w:hint="eastAsia"/>
          <w:sz w:val="28"/>
          <w:szCs w:val="28"/>
        </w:rPr>
        <w:t>课程、课程</w:t>
      </w:r>
      <w:proofErr w:type="gramStart"/>
      <w:r>
        <w:rPr>
          <w:rFonts w:ascii="仿宋_GB2312" w:eastAsia="仿宋_GB2312" w:hint="eastAsia"/>
          <w:sz w:val="28"/>
          <w:szCs w:val="28"/>
        </w:rPr>
        <w:t>思政教学</w:t>
      </w:r>
      <w:proofErr w:type="gramEnd"/>
      <w:r>
        <w:rPr>
          <w:rFonts w:ascii="仿宋_GB2312" w:eastAsia="仿宋_GB2312" w:hint="eastAsia"/>
          <w:sz w:val="28"/>
          <w:szCs w:val="28"/>
        </w:rPr>
        <w:t>研究示范中心以及课程</w:t>
      </w:r>
      <w:proofErr w:type="gramStart"/>
      <w:r>
        <w:rPr>
          <w:rFonts w:ascii="仿宋_GB2312" w:eastAsia="仿宋_GB2312" w:hint="eastAsia"/>
          <w:sz w:val="28"/>
          <w:szCs w:val="28"/>
        </w:rPr>
        <w:t>思政教学</w:t>
      </w:r>
      <w:proofErr w:type="gramEnd"/>
      <w:r>
        <w:rPr>
          <w:rFonts w:ascii="仿宋_GB2312" w:eastAsia="仿宋_GB2312" w:hint="eastAsia"/>
          <w:sz w:val="28"/>
          <w:szCs w:val="28"/>
        </w:rPr>
        <w:t>名师和团队的建设及选树情况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1.2.4 学院对教师、学生出现思想政治、道德品质等负面问题能否及时发现和妥当处置情况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1.3 本科地位</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1.3.1 “以本为本”落实情况，党委重视、院长主抓教育教学良好氛围形成情况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1.3.2 “四个回归”的实现情况，推进学生刻苦读书学习、教师潜心教书育人、学院倾心培养社会主义建设者和接班人等方面的举措与成效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1.3.3 教学经费、教学资源条件、教师精力投入等优先保障本科教学的机制建设情况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1.3.4 学院服务本科教育教学工作情况，本科教育教学工作在学院年度考核中的比重情况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1.4  存在的问题、原因分析及下一步整改举措</w:t>
      </w:r>
    </w:p>
    <w:p w:rsidR="000377CA" w:rsidRDefault="000377CA" w:rsidP="00091359">
      <w:pPr>
        <w:spacing w:line="560" w:lineRule="exact"/>
        <w:ind w:firstLineChars="200" w:firstLine="562"/>
        <w:rPr>
          <w:rFonts w:ascii="黑体" w:eastAsia="黑体" w:hAnsi="黑体"/>
          <w:b/>
          <w:bCs/>
          <w:sz w:val="28"/>
          <w:szCs w:val="28"/>
        </w:rPr>
      </w:pPr>
    </w:p>
    <w:p w:rsidR="000377CA" w:rsidRDefault="00000000" w:rsidP="00091359">
      <w:pPr>
        <w:spacing w:line="560" w:lineRule="exact"/>
        <w:jc w:val="center"/>
        <w:rPr>
          <w:rFonts w:ascii="黑体" w:eastAsia="黑体" w:hAnsi="黑体"/>
          <w:b/>
          <w:bCs/>
          <w:sz w:val="28"/>
          <w:szCs w:val="28"/>
        </w:rPr>
      </w:pPr>
      <w:r>
        <w:rPr>
          <w:rFonts w:ascii="黑体" w:eastAsia="黑体" w:hAnsi="黑体"/>
          <w:b/>
          <w:bCs/>
          <w:sz w:val="28"/>
          <w:szCs w:val="28"/>
        </w:rPr>
        <w:t>2. 培养过程</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2.1 培养方案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2.1.1 培养目标符合学院定位、适应社会经济发展需要、体现学生德智体美劳全面发展情况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2.1.2 培养方案符合国家专业类标准、体现产出导向理念情况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2.1.3</w:t>
      </w:r>
      <w:r>
        <w:rPr>
          <w:rFonts w:ascii="仿宋_GB2312" w:eastAsia="仿宋_GB2312" w:hint="eastAsia"/>
          <w:sz w:val="28"/>
          <w:szCs w:val="28"/>
        </w:rPr>
        <w:tab/>
        <w:t>B2 培养方案强化实践教学、突出实验实训内容的基础性和应用性、注重培养学生应用能力情况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2.2 专业建设</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2.2.1</w:t>
      </w:r>
      <w:r>
        <w:rPr>
          <w:rFonts w:ascii="仿宋_GB2312" w:eastAsia="仿宋_GB2312" w:hint="eastAsia"/>
          <w:sz w:val="28"/>
          <w:szCs w:val="28"/>
        </w:rPr>
        <w:tab/>
        <w:t>B2 专业设置、专业建设与国家需要、区域经济社会发展及产业发展对应用型人才需求的契合情况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B 2.2.2</w:t>
      </w:r>
      <w:r>
        <w:rPr>
          <w:rFonts w:ascii="仿宋_GB2312" w:eastAsia="仿宋_GB2312" w:hint="eastAsia"/>
          <w:sz w:val="28"/>
          <w:szCs w:val="28"/>
        </w:rPr>
        <w:tab/>
        <w:t>B2 围绕产业链、创新链建立自主性、灵活性与规范性、稳定性相统一的专业设置管理体系情况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2.2.3 学院通过主辅修、</w:t>
      </w:r>
      <w:proofErr w:type="gramStart"/>
      <w:r>
        <w:rPr>
          <w:rFonts w:ascii="仿宋_GB2312" w:eastAsia="仿宋_GB2312" w:hint="eastAsia"/>
          <w:sz w:val="28"/>
          <w:szCs w:val="28"/>
        </w:rPr>
        <w:t>微专业</w:t>
      </w:r>
      <w:proofErr w:type="gramEnd"/>
      <w:r>
        <w:rPr>
          <w:rFonts w:ascii="仿宋_GB2312" w:eastAsia="仿宋_GB2312" w:hint="eastAsia"/>
          <w:sz w:val="28"/>
          <w:szCs w:val="28"/>
        </w:rPr>
        <w:t>和双学士学位培养等举措促进复合型人才培养情况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2.3  实践教学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2.3.1 强化实践育人、构建实践教学体系、推动实践教学改革情况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2.3.2</w:t>
      </w:r>
      <w:r>
        <w:rPr>
          <w:rFonts w:ascii="仿宋_GB2312" w:eastAsia="仿宋_GB2312" w:hint="eastAsia"/>
          <w:sz w:val="28"/>
          <w:szCs w:val="28"/>
        </w:rPr>
        <w:tab/>
        <w:t>B2 学院与企业、行业单位共建实习实训基地情况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2.3.3</w:t>
      </w:r>
      <w:r>
        <w:rPr>
          <w:rFonts w:ascii="仿宋_GB2312" w:eastAsia="仿宋_GB2312" w:hint="eastAsia"/>
          <w:sz w:val="28"/>
          <w:szCs w:val="28"/>
        </w:rPr>
        <w:tab/>
        <w:t>B2 毕业论文（设计）选题来自行业企业一线需要、实行校企“双导师”制情况及完成质量</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2.4  课堂教学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2.4.1 实施“以学为中心、以教为主导”的课堂教学，开展以学生学习成果为导向的教学评价情况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2.4.2 推进信息技术与教学过程融合、加强信息化教学环境与资源建设情况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2.4.3 依照教材审核选用标准和程序选用教材情况；推进马工程重点教材统一使用情况</w:t>
      </w:r>
    </w:p>
    <w:p w:rsidR="000377CA" w:rsidRDefault="00000000" w:rsidP="00091359">
      <w:pPr>
        <w:spacing w:line="560" w:lineRule="exact"/>
        <w:ind w:firstLineChars="200" w:firstLine="562"/>
        <w:rPr>
          <w:rFonts w:ascii="黑体" w:eastAsia="黑体" w:hAnsi="黑体" w:cs="黑体"/>
          <w:b/>
          <w:bCs/>
          <w:sz w:val="24"/>
          <w:szCs w:val="24"/>
        </w:rPr>
      </w:pPr>
      <w:r>
        <w:rPr>
          <w:rFonts w:ascii="黑体" w:eastAsia="黑体" w:hAnsi="黑体"/>
          <w:b/>
          <w:bCs/>
          <w:sz w:val="28"/>
          <w:szCs w:val="28"/>
        </w:rPr>
        <w:t>K2.5  卓越培养</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2.5.1</w:t>
      </w:r>
      <w:r>
        <w:rPr>
          <w:rFonts w:ascii="仿宋_GB2312" w:eastAsia="仿宋_GB2312" w:hint="eastAsia"/>
          <w:sz w:val="28"/>
          <w:szCs w:val="28"/>
        </w:rPr>
        <w:tab/>
        <w:t>K2 产教融合卓越人才培养模式改革及其实践效果</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2.5.2 加强课程体系整体设计，优化比例结构，提高课程建设规划性、系统性情况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2.5.3 新工科建设以及围绕“培育高水平教学成果”开展教研教改项目建设的举措及实施成效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2.5.4 一流专业“双万计划”建设举措及成效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K 2.5.5 一流课程“双万计划”建设举措及成效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2.5.6 优秀教材建设举措及成效</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2.6 创新创业教育</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2.6.1 创新创业教育工作体系与创新创业教育平台建设情况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2.6.2 将创新创业教育贯穿于人才培养全过程、融入专业教育的举措与成效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2.6.3 学生参与创新创业教育积极性及创新创业教育成果</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2.7  存在的问题、原因分析及下一步整改举措</w:t>
      </w:r>
    </w:p>
    <w:p w:rsidR="000377CA" w:rsidRDefault="000377CA" w:rsidP="00091359">
      <w:pPr>
        <w:spacing w:line="560" w:lineRule="exact"/>
        <w:ind w:firstLineChars="200" w:firstLine="562"/>
        <w:rPr>
          <w:rFonts w:ascii="黑体" w:eastAsia="黑体" w:hAnsi="黑体"/>
          <w:b/>
          <w:bCs/>
          <w:sz w:val="28"/>
          <w:szCs w:val="28"/>
        </w:rPr>
      </w:pPr>
    </w:p>
    <w:p w:rsidR="000377CA" w:rsidRDefault="00000000" w:rsidP="00091359">
      <w:pPr>
        <w:spacing w:line="560" w:lineRule="exact"/>
        <w:jc w:val="center"/>
        <w:rPr>
          <w:rFonts w:ascii="黑体" w:eastAsia="黑体" w:hAnsi="黑体"/>
          <w:b/>
          <w:bCs/>
          <w:sz w:val="28"/>
          <w:szCs w:val="28"/>
        </w:rPr>
      </w:pPr>
      <w:r>
        <w:rPr>
          <w:rFonts w:ascii="黑体" w:eastAsia="黑体" w:hAnsi="黑体"/>
          <w:b/>
          <w:bCs/>
          <w:sz w:val="28"/>
          <w:szCs w:val="28"/>
        </w:rPr>
        <w:t>3. 教学资源与利用</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X3.1 设施条件</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X3.1.2教室、实验室、运动场所、体育设施、艺术场馆、实习基地及其设施条件满足教学要求情况及利用率</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3.2  资源建设</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3.2.1</w:t>
      </w:r>
      <w:r>
        <w:rPr>
          <w:rFonts w:ascii="仿宋_GB2312" w:eastAsia="仿宋_GB2312" w:hint="eastAsia"/>
          <w:sz w:val="28"/>
          <w:szCs w:val="28"/>
        </w:rPr>
        <w:tab/>
        <w:t>B2 行业企业课程资源库、真实项目案例库建设及共享情况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3.2.2</w:t>
      </w:r>
      <w:r>
        <w:rPr>
          <w:rFonts w:ascii="仿宋_GB2312" w:eastAsia="仿宋_GB2312" w:hint="eastAsia"/>
          <w:sz w:val="28"/>
          <w:szCs w:val="28"/>
        </w:rPr>
        <w:tab/>
        <w:t>B2 面向行业企业实际、产业发展需要的应用型教材建设情况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3.2.3</w:t>
      </w:r>
      <w:r>
        <w:rPr>
          <w:rFonts w:ascii="仿宋_GB2312" w:eastAsia="仿宋_GB2312" w:hint="eastAsia"/>
          <w:sz w:val="28"/>
          <w:szCs w:val="28"/>
        </w:rPr>
        <w:tab/>
        <w:t>适应“互联网+”课程教学需要的智慧教室、智能实验室等教学设施和条件建设及使用效果</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3.2.4</w:t>
      </w:r>
      <w:r>
        <w:rPr>
          <w:rFonts w:ascii="仿宋_GB2312" w:eastAsia="仿宋_GB2312" w:hint="eastAsia"/>
          <w:sz w:val="28"/>
          <w:szCs w:val="28"/>
        </w:rPr>
        <w:tab/>
        <w:t>K2 产业技术发展成果、产学研合作项目转化为教学资源情况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3.3  存在的问题、原因分析及下一步整改举措</w:t>
      </w:r>
    </w:p>
    <w:p w:rsidR="000377CA" w:rsidRDefault="000377CA" w:rsidP="00091359">
      <w:pPr>
        <w:spacing w:line="560" w:lineRule="exact"/>
        <w:ind w:firstLineChars="200" w:firstLine="562"/>
        <w:rPr>
          <w:rFonts w:ascii="黑体" w:eastAsia="黑体" w:hAnsi="黑体"/>
          <w:b/>
          <w:bCs/>
          <w:sz w:val="28"/>
          <w:szCs w:val="28"/>
        </w:rPr>
      </w:pPr>
    </w:p>
    <w:p w:rsidR="000377CA" w:rsidRDefault="00000000" w:rsidP="00091359">
      <w:pPr>
        <w:spacing w:line="560" w:lineRule="exact"/>
        <w:jc w:val="center"/>
        <w:rPr>
          <w:rFonts w:ascii="黑体" w:eastAsia="黑体" w:hAnsi="黑体"/>
          <w:b/>
          <w:bCs/>
          <w:sz w:val="28"/>
          <w:szCs w:val="28"/>
        </w:rPr>
      </w:pPr>
      <w:r>
        <w:rPr>
          <w:rFonts w:ascii="黑体" w:eastAsia="黑体" w:hAnsi="黑体"/>
          <w:b/>
          <w:bCs/>
          <w:sz w:val="28"/>
          <w:szCs w:val="28"/>
        </w:rPr>
        <w:lastRenderedPageBreak/>
        <w:t>4. 教师队伍</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4.1 师德师风</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4.1.1 保障把教师思想政治建设放在首位、把师德师风作为评价教师的第一标准，强化师德教育、加强师德宣传、严格考核管理、加强制度建设，落实师德考核贯穿于教育教学全过程等方面的情况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4.1.2 教师在争做“四有”好老师、四个“引路人”，自觉遵守《新时代高校教师职业行为十项准则》等方面的情况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4.2 教学能力</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4.2.1</w:t>
      </w:r>
      <w:r>
        <w:rPr>
          <w:rFonts w:ascii="仿宋_GB2312" w:eastAsia="仿宋_GB2312" w:hint="eastAsia"/>
          <w:sz w:val="28"/>
          <w:szCs w:val="28"/>
        </w:rPr>
        <w:tab/>
        <w:t>B2 专任教师的专业水平、教学能力、产学研用能力</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4.2.2 提升教师教书育人能力和水平的措施</w:t>
      </w:r>
    </w:p>
    <w:p w:rsidR="000377CA" w:rsidRDefault="00000000" w:rsidP="00091359">
      <w:pPr>
        <w:spacing w:line="560" w:lineRule="exact"/>
        <w:ind w:firstLineChars="200" w:firstLine="562"/>
        <w:rPr>
          <w:rFonts w:ascii="黑体" w:eastAsia="黑体" w:hAnsi="黑体" w:cs="黑体"/>
          <w:b/>
          <w:bCs/>
          <w:sz w:val="24"/>
          <w:szCs w:val="24"/>
        </w:rPr>
      </w:pPr>
      <w:r>
        <w:rPr>
          <w:rFonts w:ascii="黑体" w:eastAsia="黑体" w:hAnsi="黑体"/>
          <w:b/>
          <w:bCs/>
          <w:sz w:val="28"/>
          <w:szCs w:val="28"/>
        </w:rPr>
        <w:t>4.3 教学投入</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4.3.1 教师投入教学、教授全员为本科生授课的激励与约束机制建立情况及实施效果</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4.3.2 教师特别是教授和副教授开展教学研究、参与教学改革与建设情况及成效</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4.4  教师发展</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4.4.1 重视教师培训与职业发展，</w:t>
      </w:r>
      <w:proofErr w:type="gramStart"/>
      <w:r>
        <w:rPr>
          <w:rFonts w:ascii="仿宋_GB2312" w:eastAsia="仿宋_GB2312" w:hint="eastAsia"/>
          <w:sz w:val="28"/>
          <w:szCs w:val="28"/>
        </w:rPr>
        <w:t>加强思政与</w:t>
      </w:r>
      <w:proofErr w:type="gramEnd"/>
      <w:r>
        <w:rPr>
          <w:rFonts w:ascii="仿宋_GB2312" w:eastAsia="仿宋_GB2312" w:hint="eastAsia"/>
          <w:sz w:val="28"/>
          <w:szCs w:val="28"/>
        </w:rPr>
        <w:t>党务工作队伍建设的举措与成效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4.4.2 加强基层教学组织和青年教师队伍建设举措与成效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4.4.3</w:t>
      </w:r>
      <w:r>
        <w:rPr>
          <w:rFonts w:ascii="仿宋_GB2312" w:eastAsia="仿宋_GB2312" w:hint="eastAsia"/>
          <w:sz w:val="28"/>
          <w:szCs w:val="28"/>
        </w:rPr>
        <w:tab/>
        <w:t>B2 提升教师教学能力、产学研用能力、信息技术应用能力，鼓励教师到业界实践、挂职和承担横向课题的政策措施</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4.4.4</w:t>
      </w:r>
      <w:r>
        <w:rPr>
          <w:rFonts w:ascii="仿宋_GB2312" w:eastAsia="仿宋_GB2312" w:hint="eastAsia"/>
          <w:sz w:val="28"/>
          <w:szCs w:val="28"/>
        </w:rPr>
        <w:tab/>
        <w:t>B2 双</w:t>
      </w:r>
      <w:proofErr w:type="gramStart"/>
      <w:r>
        <w:rPr>
          <w:rFonts w:ascii="仿宋_GB2312" w:eastAsia="仿宋_GB2312" w:hint="eastAsia"/>
          <w:sz w:val="28"/>
          <w:szCs w:val="28"/>
        </w:rPr>
        <w:t>师双能型教师</w:t>
      </w:r>
      <w:proofErr w:type="gramEnd"/>
      <w:r>
        <w:rPr>
          <w:rFonts w:ascii="仿宋_GB2312" w:eastAsia="仿宋_GB2312" w:hint="eastAsia"/>
          <w:sz w:val="28"/>
          <w:szCs w:val="28"/>
        </w:rPr>
        <w:t>队伍和实践教学教师队伍管理与建设情况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4.4.5 教师赴国（境）外交流、访学、参加国际会议、合作研</w:t>
      </w:r>
      <w:r>
        <w:rPr>
          <w:rFonts w:ascii="仿宋_GB2312" w:eastAsia="仿宋_GB2312" w:hint="eastAsia"/>
          <w:sz w:val="28"/>
          <w:szCs w:val="28"/>
        </w:rPr>
        <w:lastRenderedPageBreak/>
        <w:t>究等情况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4.5 存在的问题、原因分析及下一步整改举措</w:t>
      </w:r>
    </w:p>
    <w:p w:rsidR="000377CA" w:rsidRDefault="000377CA" w:rsidP="00091359">
      <w:pPr>
        <w:spacing w:line="560" w:lineRule="exact"/>
        <w:ind w:firstLineChars="200" w:firstLine="562"/>
        <w:rPr>
          <w:rFonts w:ascii="黑体" w:eastAsia="黑体" w:hAnsi="黑体"/>
          <w:b/>
          <w:bCs/>
          <w:sz w:val="28"/>
          <w:szCs w:val="28"/>
        </w:rPr>
      </w:pPr>
    </w:p>
    <w:p w:rsidR="000377CA" w:rsidRDefault="00000000" w:rsidP="00091359">
      <w:pPr>
        <w:spacing w:line="560" w:lineRule="exact"/>
        <w:jc w:val="center"/>
        <w:rPr>
          <w:rFonts w:ascii="黑体" w:eastAsia="黑体" w:hAnsi="黑体"/>
          <w:b/>
          <w:bCs/>
          <w:sz w:val="28"/>
          <w:szCs w:val="28"/>
        </w:rPr>
      </w:pPr>
      <w:r>
        <w:rPr>
          <w:rFonts w:ascii="黑体" w:eastAsia="黑体" w:hAnsi="黑体"/>
          <w:b/>
          <w:bCs/>
          <w:sz w:val="28"/>
          <w:szCs w:val="28"/>
        </w:rPr>
        <w:t>5. 学生发展</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5.1 理想信念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5.1.1 学生理想信念和品德修养</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5.1.2 加强学风建设，教育引导学生爱国、励志、求真、力行情况</w:t>
      </w:r>
    </w:p>
    <w:p w:rsidR="000377CA" w:rsidRDefault="00000000" w:rsidP="00091359">
      <w:pPr>
        <w:spacing w:line="560" w:lineRule="exact"/>
        <w:ind w:firstLineChars="200" w:firstLine="562"/>
        <w:rPr>
          <w:rFonts w:ascii="黑体" w:eastAsia="黑体" w:hAnsi="黑体" w:cs="黑体"/>
          <w:b/>
          <w:bCs/>
          <w:sz w:val="24"/>
          <w:szCs w:val="24"/>
        </w:rPr>
      </w:pPr>
      <w:r>
        <w:rPr>
          <w:rFonts w:ascii="黑体" w:eastAsia="黑体" w:hAnsi="黑体"/>
          <w:b/>
          <w:bCs/>
          <w:sz w:val="28"/>
          <w:szCs w:val="28"/>
        </w:rPr>
        <w:t>5.2  学业成绩及综合素质</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5.2.1</w:t>
      </w:r>
      <w:r>
        <w:rPr>
          <w:rFonts w:ascii="仿宋_GB2312" w:eastAsia="仿宋_GB2312" w:hint="eastAsia"/>
          <w:sz w:val="28"/>
          <w:szCs w:val="28"/>
        </w:rPr>
        <w:tab/>
        <w:t>B2 学生综合应用知识能力和独立解决生产、管理和服务中实际问题能力</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5.2.2 开展通识教育、体育、美育、劳动教育的措施与成效</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5.2.3 社团活动、校园文化、社会实践、志愿服务等活动开展情况及育人效果</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K5.3  国际视野</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5.3.1 与国（境）</w:t>
      </w:r>
      <w:proofErr w:type="gramStart"/>
      <w:r>
        <w:rPr>
          <w:rFonts w:ascii="仿宋_GB2312" w:eastAsia="仿宋_GB2312" w:hint="eastAsia"/>
          <w:sz w:val="28"/>
          <w:szCs w:val="28"/>
        </w:rPr>
        <w:t>外大学</w:t>
      </w:r>
      <w:proofErr w:type="gramEnd"/>
      <w:r>
        <w:rPr>
          <w:rFonts w:ascii="仿宋_GB2312" w:eastAsia="仿宋_GB2312" w:hint="eastAsia"/>
          <w:sz w:val="28"/>
          <w:szCs w:val="28"/>
        </w:rPr>
        <w:t>合作办学、合作育人以及与本科教育相关的国际交流活动和来华留学生教育开展情况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K5.3.2 国际先进教育理念、优质教育资源的吸收内化、培育和输出共享情况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5.3.3 学生赴国（境）外交流、访学、实习、竞赛、参加国际会议、合作研究等情况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5.4  支持服务</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5.4.1 领导干部和教师参与学生工作的情况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5.4.2 学院开展学生指导服务工作（学业、职业生涯规划、就业、</w:t>
      </w:r>
      <w:r>
        <w:rPr>
          <w:rFonts w:ascii="仿宋_GB2312" w:eastAsia="仿宋_GB2312" w:hint="eastAsia"/>
          <w:sz w:val="28"/>
          <w:szCs w:val="28"/>
        </w:rPr>
        <w:lastRenderedPageBreak/>
        <w:t>家庭经济困难学生资助、心理健康咨询等）情况，学业导师等配备及师生交流活动专门场所建设情况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5.4.3 与学分制改革和弹性学习相适应的管理制度、辅修专业制度、双学士学位制度建设情况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K 5.4.4 探索学生成长增值评价，重视学生学习体验、自我发展能力和职业发展能力的具体措施及实施成效</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5.5 存在的问题、原因分析及下一步整改举措</w:t>
      </w:r>
    </w:p>
    <w:p w:rsidR="000377CA" w:rsidRDefault="000377CA" w:rsidP="00091359">
      <w:pPr>
        <w:spacing w:line="560" w:lineRule="exact"/>
        <w:ind w:firstLineChars="200" w:firstLine="560"/>
        <w:rPr>
          <w:rFonts w:ascii="黑体" w:eastAsia="黑体" w:hAnsi="黑体"/>
          <w:sz w:val="28"/>
          <w:szCs w:val="28"/>
        </w:rPr>
      </w:pPr>
    </w:p>
    <w:p w:rsidR="000377CA" w:rsidRDefault="00000000" w:rsidP="00091359">
      <w:pPr>
        <w:spacing w:line="560" w:lineRule="exact"/>
        <w:jc w:val="center"/>
        <w:rPr>
          <w:rFonts w:ascii="黑体" w:eastAsia="黑体" w:hAnsi="黑体"/>
          <w:b/>
          <w:bCs/>
          <w:sz w:val="28"/>
          <w:szCs w:val="28"/>
        </w:rPr>
      </w:pPr>
      <w:r>
        <w:rPr>
          <w:rFonts w:ascii="黑体" w:eastAsia="黑体" w:hAnsi="黑体"/>
          <w:b/>
          <w:bCs/>
          <w:sz w:val="28"/>
          <w:szCs w:val="28"/>
        </w:rPr>
        <w:t>6. 质量保障</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6.1 质量管理</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6.1.1 学院质量标准、质量管理制度、质量保障机构及队伍建设情况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6.1.2 加强考试管理、严肃考试纪律、完善过程性考核与结果性考核有机结合的学业考评制度、严把考试和毕业出口关的情况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6.2 质量改进</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6.2.1 学院内部质量评估制度的建立及接受外部评估（含院校评估、专业认证等）情况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6.2.2 质量持续改进机制建设与改进效果</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6.3  质量文化</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6.3.1 自觉、自省、自律、自查、自纠的质量文化建设情况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6.3.2 质量信息公开制度及年度质量报告</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6.4 存在的问题、原因分析及下一步整改举措</w:t>
      </w:r>
    </w:p>
    <w:p w:rsidR="000377CA" w:rsidRDefault="000377CA" w:rsidP="00091359">
      <w:pPr>
        <w:spacing w:line="560" w:lineRule="exact"/>
        <w:ind w:firstLineChars="200" w:firstLine="562"/>
        <w:rPr>
          <w:rFonts w:ascii="黑体" w:eastAsia="黑体" w:hAnsi="黑体"/>
          <w:b/>
          <w:bCs/>
          <w:sz w:val="28"/>
          <w:szCs w:val="28"/>
        </w:rPr>
      </w:pPr>
    </w:p>
    <w:p w:rsidR="000377CA" w:rsidRDefault="00000000" w:rsidP="00091359">
      <w:pPr>
        <w:spacing w:line="560" w:lineRule="exact"/>
        <w:jc w:val="center"/>
        <w:rPr>
          <w:rFonts w:ascii="黑体" w:eastAsia="黑体" w:hAnsi="黑体"/>
          <w:b/>
          <w:bCs/>
          <w:sz w:val="28"/>
          <w:szCs w:val="28"/>
        </w:rPr>
      </w:pPr>
      <w:r>
        <w:rPr>
          <w:rFonts w:ascii="黑体" w:eastAsia="黑体" w:hAnsi="黑体"/>
          <w:b/>
          <w:bCs/>
          <w:sz w:val="28"/>
          <w:szCs w:val="28"/>
        </w:rPr>
        <w:t>7. 教学成效</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lastRenderedPageBreak/>
        <w:t>7.1 达成度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7.1.1 学院各专业人才培养目标的达成情况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7.1.2 毕业生质量持续跟踪评价机制建立情况及跟踪评价结果</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7.2 适应度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7.2.1 学院本科生源状况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B 7.2.2</w:t>
      </w:r>
      <w:r>
        <w:rPr>
          <w:rFonts w:ascii="仿宋_GB2312" w:eastAsia="仿宋_GB2312" w:hint="eastAsia"/>
          <w:sz w:val="28"/>
          <w:szCs w:val="28"/>
        </w:rPr>
        <w:tab/>
        <w:t>B2 毕业生面向学院所服务的区域和行业企业就业情况、就业质量及职业发展情况</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7.3 保障度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7.3.1 教学经费以及实验室、图书资料室等资源条件满足教学需要情况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7.3.2 教师的数量、结构、教学水平、产学研用能力、国际视野、教学投入等满足人才培养需要情况</w:t>
      </w:r>
    </w:p>
    <w:p w:rsidR="000377CA" w:rsidRDefault="00000000" w:rsidP="00091359">
      <w:pPr>
        <w:spacing w:line="560" w:lineRule="exact"/>
        <w:ind w:firstLineChars="200" w:firstLine="562"/>
        <w:rPr>
          <w:rFonts w:ascii="黑体" w:eastAsia="黑体" w:hAnsi="黑体" w:cs="黑体"/>
          <w:b/>
          <w:bCs/>
          <w:sz w:val="24"/>
          <w:szCs w:val="24"/>
        </w:rPr>
      </w:pPr>
      <w:r>
        <w:rPr>
          <w:rFonts w:ascii="黑体" w:eastAsia="黑体" w:hAnsi="黑体"/>
          <w:b/>
          <w:bCs/>
          <w:sz w:val="28"/>
          <w:szCs w:val="28"/>
        </w:rPr>
        <w:t>7.4  有效度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7.4.1 学院人才培养各环节有序运行情况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7.4.2 学院人才培养工作持续改进、持续提升情况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7.4.3 近三年专业领域的优秀毕业生典型案例及培养经验</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7.5 满意度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7.5.1 学生（毕业生与在校生）对学习与成长的满意度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7.5.2 教师对学院教育教学工作的满意度</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hint="eastAsia"/>
          <w:sz w:val="28"/>
          <w:szCs w:val="28"/>
        </w:rPr>
        <w:t>7.5.3 用人单位的满意度</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b/>
          <w:bCs/>
          <w:sz w:val="28"/>
          <w:szCs w:val="28"/>
        </w:rPr>
        <w:t>7.6 存在的问题、原因分析及下一步整改举措</w:t>
      </w:r>
    </w:p>
    <w:p w:rsidR="000377CA" w:rsidRDefault="000377CA" w:rsidP="00091359">
      <w:pPr>
        <w:spacing w:line="560" w:lineRule="exact"/>
        <w:ind w:firstLineChars="200" w:firstLine="600"/>
        <w:rPr>
          <w:rFonts w:ascii="仿宋_GB2312" w:eastAsia="仿宋_GB2312"/>
          <w:sz w:val="30"/>
          <w:szCs w:val="30"/>
        </w:rPr>
      </w:pPr>
    </w:p>
    <w:p w:rsidR="000377CA" w:rsidRDefault="00000000" w:rsidP="00091359">
      <w:pPr>
        <w:spacing w:before="140" w:line="560" w:lineRule="exact"/>
        <w:rPr>
          <w:rFonts w:ascii="宋体" w:eastAsia="宋体" w:hAnsi="宋体" w:cs="宋体"/>
          <w:b/>
          <w:bCs/>
          <w:spacing w:val="-9"/>
          <w:sz w:val="36"/>
          <w:szCs w:val="36"/>
        </w:rPr>
      </w:pPr>
      <w:r>
        <w:rPr>
          <w:rFonts w:ascii="宋体" w:eastAsia="宋体" w:hAnsi="宋体" w:cs="宋体" w:hint="eastAsia"/>
          <w:b/>
          <w:bCs/>
          <w:spacing w:val="-9"/>
          <w:sz w:val="36"/>
          <w:szCs w:val="36"/>
        </w:rPr>
        <w:t>三、教学教育典型案例</w:t>
      </w:r>
      <w:r>
        <w:rPr>
          <w:rFonts w:ascii="宋体" w:eastAsia="宋体" w:hAnsi="宋体" w:cs="宋体" w:hint="eastAsia"/>
          <w:b/>
          <w:bCs/>
          <w:color w:val="FF0000"/>
          <w:spacing w:val="-9"/>
          <w:sz w:val="36"/>
          <w:szCs w:val="36"/>
        </w:rPr>
        <w:t>（1000-2000字）</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8.1基本情况</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8.2工作举措</w:t>
      </w:r>
    </w:p>
    <w:p w:rsidR="000377CA" w:rsidRDefault="00000000" w:rsidP="00091359">
      <w:pPr>
        <w:spacing w:line="560" w:lineRule="exact"/>
        <w:ind w:firstLineChars="200" w:firstLine="560"/>
        <w:rPr>
          <w:rFonts w:ascii="仿宋_GB2312" w:eastAsia="仿宋_GB2312"/>
          <w:sz w:val="28"/>
          <w:szCs w:val="28"/>
        </w:rPr>
      </w:pPr>
      <w:r>
        <w:rPr>
          <w:rFonts w:ascii="仿宋_GB2312" w:eastAsia="仿宋_GB2312"/>
          <w:sz w:val="28"/>
          <w:szCs w:val="28"/>
        </w:rPr>
        <w:t>*************************************************************************</w:t>
      </w:r>
    </w:p>
    <w:p w:rsidR="000377CA" w:rsidRDefault="00000000" w:rsidP="00091359">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8.3实施成效</w:t>
      </w:r>
    </w:p>
    <w:p w:rsidR="000377CA" w:rsidRPr="00091359" w:rsidRDefault="00000000" w:rsidP="00091359">
      <w:pPr>
        <w:spacing w:line="560" w:lineRule="exact"/>
        <w:ind w:firstLineChars="200" w:firstLine="560"/>
        <w:rPr>
          <w:rFonts w:ascii="黑体" w:eastAsia="黑体" w:hAnsi="黑体" w:hint="eastAsia"/>
          <w:b/>
          <w:bCs/>
          <w:sz w:val="28"/>
          <w:szCs w:val="28"/>
        </w:rPr>
      </w:pPr>
      <w:r>
        <w:rPr>
          <w:rFonts w:ascii="仿宋_GB2312" w:eastAsia="仿宋_GB2312"/>
          <w:sz w:val="28"/>
          <w:szCs w:val="28"/>
        </w:rPr>
        <w:t>*************************************************************************</w:t>
      </w:r>
    </w:p>
    <w:sectPr w:rsidR="000377CA" w:rsidRPr="000913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2AD2" w:rsidRDefault="00952AD2">
      <w:r>
        <w:separator/>
      </w:r>
    </w:p>
  </w:endnote>
  <w:endnote w:type="continuationSeparator" w:id="0">
    <w:p w:rsidR="00952AD2" w:rsidRDefault="0095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7CA"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2599660</wp:posOffset>
              </wp:positionH>
              <wp:positionV relativeFrom="paragraph">
                <wp:posOffset>2274</wp:posOffset>
              </wp:positionV>
              <wp:extent cx="191387" cy="1828800"/>
              <wp:effectExtent l="0" t="0" r="0" b="10160"/>
              <wp:wrapNone/>
              <wp:docPr id="1" name="文本框 1"/>
              <wp:cNvGraphicFramePr/>
              <a:graphic xmlns:a="http://schemas.openxmlformats.org/drawingml/2006/main">
                <a:graphicData uri="http://schemas.microsoft.com/office/word/2010/wordprocessingShape">
                  <wps:wsp>
                    <wps:cNvSpPr txBox="1"/>
                    <wps:spPr>
                      <a:xfrm>
                        <a:off x="0" y="0"/>
                        <a:ext cx="19138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77CA"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4.7pt;margin-top:.2pt;width:15.0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" filled="f" stroked="f" strokeweight=".5pt">
              <v:textbox style="mso-fit-shape-to-text:t" inset="0,0,0,0">
                <w:txbxContent>
                  <w:p w:rsidR="000377CA"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2AD2" w:rsidRDefault="00952AD2">
      <w:r>
        <w:separator/>
      </w:r>
    </w:p>
  </w:footnote>
  <w:footnote w:type="continuationSeparator" w:id="0">
    <w:p w:rsidR="00952AD2" w:rsidRDefault="0095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wYjZjYWYyNTFjMTgxNzhmMjkwZjVhZDkyODYyNmEifQ=="/>
  </w:docVars>
  <w:rsids>
    <w:rsidRoot w:val="00B65A59"/>
    <w:rsid w:val="000377CA"/>
    <w:rsid w:val="0004583C"/>
    <w:rsid w:val="00061F2D"/>
    <w:rsid w:val="00091359"/>
    <w:rsid w:val="00163481"/>
    <w:rsid w:val="001A6288"/>
    <w:rsid w:val="00205F04"/>
    <w:rsid w:val="00223D64"/>
    <w:rsid w:val="002338A1"/>
    <w:rsid w:val="00256F47"/>
    <w:rsid w:val="00297A7C"/>
    <w:rsid w:val="002D3950"/>
    <w:rsid w:val="00333A26"/>
    <w:rsid w:val="003C5E04"/>
    <w:rsid w:val="004018DB"/>
    <w:rsid w:val="00406E40"/>
    <w:rsid w:val="00421130"/>
    <w:rsid w:val="004670A0"/>
    <w:rsid w:val="004722BC"/>
    <w:rsid w:val="004D2EED"/>
    <w:rsid w:val="004F22C4"/>
    <w:rsid w:val="00540C43"/>
    <w:rsid w:val="00584C03"/>
    <w:rsid w:val="005976AF"/>
    <w:rsid w:val="005B7BBB"/>
    <w:rsid w:val="005F5629"/>
    <w:rsid w:val="00635B96"/>
    <w:rsid w:val="00670463"/>
    <w:rsid w:val="007102CC"/>
    <w:rsid w:val="00710F56"/>
    <w:rsid w:val="00726447"/>
    <w:rsid w:val="00791482"/>
    <w:rsid w:val="007A53BC"/>
    <w:rsid w:val="007E035D"/>
    <w:rsid w:val="0083021E"/>
    <w:rsid w:val="008463AD"/>
    <w:rsid w:val="00847C02"/>
    <w:rsid w:val="008B7139"/>
    <w:rsid w:val="00925EF9"/>
    <w:rsid w:val="009353E9"/>
    <w:rsid w:val="00952AD2"/>
    <w:rsid w:val="0096097D"/>
    <w:rsid w:val="009938A7"/>
    <w:rsid w:val="009B4342"/>
    <w:rsid w:val="00A71630"/>
    <w:rsid w:val="00A75B6C"/>
    <w:rsid w:val="00AD7E2D"/>
    <w:rsid w:val="00B65A59"/>
    <w:rsid w:val="00BF11C5"/>
    <w:rsid w:val="00C06CCE"/>
    <w:rsid w:val="00C63B18"/>
    <w:rsid w:val="00D00F03"/>
    <w:rsid w:val="00D5585E"/>
    <w:rsid w:val="00D56EAF"/>
    <w:rsid w:val="00D734CB"/>
    <w:rsid w:val="00DB6F96"/>
    <w:rsid w:val="00DD1DF9"/>
    <w:rsid w:val="00E12782"/>
    <w:rsid w:val="00E1294B"/>
    <w:rsid w:val="00E23185"/>
    <w:rsid w:val="00E344B2"/>
    <w:rsid w:val="00E9410F"/>
    <w:rsid w:val="00EA3F49"/>
    <w:rsid w:val="00F42C0C"/>
    <w:rsid w:val="00F5105B"/>
    <w:rsid w:val="00F60B7E"/>
    <w:rsid w:val="00F65D9B"/>
    <w:rsid w:val="00F93CA9"/>
    <w:rsid w:val="00FB5E3B"/>
    <w:rsid w:val="00FF4AFE"/>
    <w:rsid w:val="0B35402F"/>
    <w:rsid w:val="234D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BA8E"/>
  <w15:docId w15:val="{FF991090-3015-4CC9-B7D4-B8005BC3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customStyle="1" w:styleId="TableNormal">
    <w:name w:val="Table Normal"/>
    <w:uiPriority w:val="2"/>
    <w:semiHidden/>
    <w:unhideWhenUsed/>
    <w:qFormat/>
    <w:rPr>
      <w:rFonts w:ascii="Arial" w:hAnsi="Arial" w:cs="Arial"/>
    </w:rPr>
    <w:tblPr>
      <w:tblCellMar>
        <w:top w:w="0" w:type="dxa"/>
        <w:left w:w="0" w:type="dxa"/>
        <w:bottom w:w="0" w:type="dxa"/>
        <w:right w:w="0" w:type="dxa"/>
      </w:tblCellMar>
    </w:tbl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yao</dc:creator>
  <cp:lastModifiedBy>yao yao</cp:lastModifiedBy>
  <cp:revision>67</cp:revision>
  <dcterms:created xsi:type="dcterms:W3CDTF">2023-07-11T08:52:00Z</dcterms:created>
  <dcterms:modified xsi:type="dcterms:W3CDTF">2023-07-25T08:06:00Z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80E4867B26A94A0ABD9EBD34430FCFED_13</vt:lpwstr>
  </property>
</Properties>
</file>